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DF6E" w14:textId="64F04F7D" w:rsidR="00A354BA" w:rsidRPr="007206BA" w:rsidRDefault="00A354BA" w:rsidP="00A354BA">
      <w:pPr>
        <w:bidi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  <w:r w:rsidRPr="007206BA"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854AD9" wp14:editId="722648F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0135" cy="1064172"/>
            <wp:effectExtent l="0" t="0" r="5715" b="3175"/>
            <wp:wrapNone/>
            <wp:docPr id="4" name="Picture 4" descr="C:\Users\a.alkalbani\Downloads\SQU_logo-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lkalbani\Downloads\SQU_logo-png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F3DD4" w14:textId="77777777" w:rsidR="00A354BA" w:rsidRPr="007206BA" w:rsidRDefault="00A354BA" w:rsidP="00A354BA">
      <w:pPr>
        <w:bidi/>
        <w:spacing w:after="0" w:line="36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en-GB"/>
        </w:rPr>
      </w:pPr>
    </w:p>
    <w:p w14:paraId="15D3B0B4" w14:textId="77777777" w:rsidR="00A354BA" w:rsidRPr="007206BA" w:rsidRDefault="00A354BA" w:rsidP="00A354BA">
      <w:pPr>
        <w:bidi/>
        <w:rPr>
          <w:rFonts w:ascii="Sakkal Majalla" w:eastAsiaTheme="majorEastAsia" w:hAnsi="Sakkal Majalla" w:cs="Sakkal Majalla"/>
          <w:color w:val="2F5496" w:themeColor="accent1" w:themeShade="BF"/>
          <w:sz w:val="28"/>
          <w:szCs w:val="28"/>
          <w:rtl/>
          <w:lang w:bidi="ar-OM"/>
        </w:rPr>
      </w:pPr>
    </w:p>
    <w:p w14:paraId="752EB630" w14:textId="77777777" w:rsidR="00A354BA" w:rsidRPr="007206BA" w:rsidRDefault="00A354BA" w:rsidP="00A354BA">
      <w:pPr>
        <w:bidi/>
        <w:rPr>
          <w:rFonts w:ascii="Sakkal Majalla" w:eastAsiaTheme="majorEastAsia" w:hAnsi="Sakkal Majalla" w:cs="Sakkal Majalla"/>
          <w:color w:val="2F5496" w:themeColor="accent1" w:themeShade="BF"/>
          <w:sz w:val="28"/>
          <w:szCs w:val="28"/>
          <w:rtl/>
          <w:lang w:bidi="ar-OM"/>
        </w:rPr>
      </w:pPr>
    </w:p>
    <w:p w14:paraId="1C10569C" w14:textId="77777777" w:rsidR="00A354BA" w:rsidRPr="007206BA" w:rsidRDefault="00A354BA" w:rsidP="00A354BA">
      <w:pPr>
        <w:bidi/>
        <w:rPr>
          <w:rFonts w:ascii="Sakkal Majalla" w:eastAsiaTheme="majorEastAsia" w:hAnsi="Sakkal Majalla" w:cs="Sakkal Majalla"/>
          <w:color w:val="2F5496" w:themeColor="accent1" w:themeShade="BF"/>
          <w:sz w:val="28"/>
          <w:szCs w:val="28"/>
          <w:rtl/>
          <w:lang w:bidi="ar-OM"/>
        </w:rPr>
      </w:pPr>
    </w:p>
    <w:p w14:paraId="39D76C39" w14:textId="77777777" w:rsidR="00A354BA" w:rsidRPr="007206BA" w:rsidRDefault="00A354BA" w:rsidP="00A354BA">
      <w:pPr>
        <w:bidi/>
        <w:rPr>
          <w:rFonts w:ascii="Sakkal Majalla" w:eastAsiaTheme="majorEastAsia" w:hAnsi="Sakkal Majalla" w:cs="Sakkal Majalla"/>
          <w:color w:val="2F5496" w:themeColor="accent1" w:themeShade="BF"/>
          <w:sz w:val="28"/>
          <w:szCs w:val="28"/>
          <w:rtl/>
          <w:lang w:bidi="ar-OM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354BA" w:rsidRPr="007206BA" w14:paraId="279C0CAA" w14:textId="77777777" w:rsidTr="005E4455">
        <w:tc>
          <w:tcPr>
            <w:tcW w:w="5000" w:type="pct"/>
            <w:shd w:val="clear" w:color="auto" w:fill="A8D08D" w:themeFill="accent6" w:themeFillTint="99"/>
          </w:tcPr>
          <w:p w14:paraId="185FA079" w14:textId="77777777" w:rsidR="00A354BA" w:rsidRPr="007206BA" w:rsidRDefault="00A354BA" w:rsidP="005E4455">
            <w:pPr>
              <w:bidi/>
              <w:jc w:val="center"/>
              <w:rPr>
                <w:rFonts w:ascii="Sakkal Majalla" w:eastAsiaTheme="majorEastAsia" w:hAnsi="Sakkal Majalla" w:cs="Sakkal Majalla"/>
                <w:color w:val="000000" w:themeColor="text1"/>
                <w:sz w:val="40"/>
                <w:szCs w:val="40"/>
                <w:rtl/>
                <w:lang w:bidi="ar-OM"/>
              </w:rPr>
            </w:pPr>
            <w:r w:rsidRPr="007206BA">
              <w:rPr>
                <w:rFonts w:ascii="Sakkal Majalla" w:eastAsiaTheme="majorEastAsia" w:hAnsi="Sakkal Majalla" w:cs="Sakkal Majalla"/>
                <w:color w:val="000000" w:themeColor="text1"/>
                <w:sz w:val="40"/>
                <w:szCs w:val="40"/>
                <w:rtl/>
                <w:lang w:bidi="ar-OM"/>
              </w:rPr>
              <w:t xml:space="preserve">عنوان </w:t>
            </w:r>
            <w:r>
              <w:rPr>
                <w:rFonts w:ascii="Sakkal Majalla" w:eastAsiaTheme="majorEastAsia" w:hAnsi="Sakkal Majalla" w:cs="Sakkal Majalla"/>
                <w:color w:val="000000" w:themeColor="text1"/>
                <w:sz w:val="40"/>
                <w:szCs w:val="40"/>
                <w:rtl/>
                <w:lang w:bidi="ar-OM"/>
              </w:rPr>
              <w:t>الإجراء</w:t>
            </w:r>
          </w:p>
        </w:tc>
      </w:tr>
    </w:tbl>
    <w:p w14:paraId="289E8CE8" w14:textId="77777777" w:rsidR="00A354BA" w:rsidRPr="007206BA" w:rsidRDefault="00A354BA" w:rsidP="00A354BA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eastAsia="en-GB"/>
        </w:rPr>
      </w:pPr>
    </w:p>
    <w:p w14:paraId="65906E21" w14:textId="77777777" w:rsidR="00A354BA" w:rsidRPr="007206BA" w:rsidRDefault="00A354BA" w:rsidP="00A354BA">
      <w:pPr>
        <w:bidi/>
        <w:rPr>
          <w:rFonts w:ascii="Sakkal Majalla" w:hAnsi="Sakkal Majalla" w:cs="Sakkal Majalla"/>
          <w:sz w:val="28"/>
          <w:szCs w:val="28"/>
          <w:rtl/>
        </w:rPr>
      </w:pPr>
      <w:bookmarkStart w:id="1" w:name="_Toc22397792"/>
      <w:bookmarkStart w:id="2" w:name="_Toc22536595"/>
    </w:p>
    <w:tbl>
      <w:tblPr>
        <w:tblpPr w:leftFromText="180" w:rightFromText="180" w:vertAnchor="text" w:horzAnchor="margin" w:tblpY="7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169"/>
        <w:gridCol w:w="1171"/>
        <w:gridCol w:w="2339"/>
        <w:gridCol w:w="2332"/>
      </w:tblGrid>
      <w:tr w:rsidR="00A354BA" w:rsidRPr="00A76DAA" w14:paraId="3D42B5D7" w14:textId="77777777" w:rsidTr="005E4455">
        <w:trPr>
          <w:trHeight w:val="485"/>
        </w:trPr>
        <w:tc>
          <w:tcPr>
            <w:tcW w:w="3753" w:type="pct"/>
            <w:gridSpan w:val="4"/>
            <w:shd w:val="clear" w:color="auto" w:fill="FFFFFF" w:themeFill="background1"/>
            <w:vAlign w:val="center"/>
          </w:tcPr>
          <w:bookmarkEnd w:id="1"/>
          <w:bookmarkEnd w:id="2"/>
          <w:p w14:paraId="70DDDD9F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الرقم التسلسلي للإجراء يحدد من قبل مكتب ضمان الجودة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A8C23B6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رقم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الإجراء</w:t>
            </w:r>
          </w:p>
        </w:tc>
      </w:tr>
      <w:tr w:rsidR="00A354BA" w:rsidRPr="00A76DAA" w14:paraId="36975CC3" w14:textId="77777777" w:rsidTr="005E4455">
        <w:trPr>
          <w:trHeight w:val="728"/>
        </w:trPr>
        <w:tc>
          <w:tcPr>
            <w:tcW w:w="3753" w:type="pct"/>
            <w:gridSpan w:val="4"/>
            <w:shd w:val="clear" w:color="auto" w:fill="FFFFFF" w:themeFill="background1"/>
            <w:vAlign w:val="center"/>
          </w:tcPr>
          <w:p w14:paraId="4346BFD7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الجهة أو الجهات في الجامعة المسؤولة </w:t>
            </w: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  <w:lang w:bidi="ar-OM"/>
              </w:rPr>
              <w:t xml:space="preserve">عن 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  <w:lang w:bidi="ar-OM"/>
              </w:rPr>
              <w:t xml:space="preserve">صياغة </w:t>
            </w:r>
            <w:r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الإجراء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 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  <w:lang w:bidi="ar-OM"/>
              </w:rPr>
              <w:t>و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تطوير</w:t>
            </w: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>ه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 ومراقب</w:t>
            </w: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>ته</w:t>
            </w: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 ومراجع</w:t>
            </w: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>ته وتحديثه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C3A6091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مالك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الإجراء</w:t>
            </w:r>
          </w:p>
        </w:tc>
      </w:tr>
      <w:tr w:rsidR="00A354BA" w:rsidRPr="00A76DAA" w14:paraId="5D7651E6" w14:textId="77777777" w:rsidTr="005E4455">
        <w:trPr>
          <w:trHeight w:val="485"/>
        </w:trPr>
        <w:tc>
          <w:tcPr>
            <w:tcW w:w="3753" w:type="pct"/>
            <w:gridSpan w:val="4"/>
            <w:shd w:val="clear" w:color="auto" w:fill="FFFFFF" w:themeFill="background1"/>
            <w:vAlign w:val="center"/>
          </w:tcPr>
          <w:p w14:paraId="67CE869F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عنوان السياسة التي ينتمي لها </w:t>
            </w:r>
            <w:r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الإجراء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90F5D2C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 xml:space="preserve">عنوان 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السياسة</w:t>
            </w:r>
          </w:p>
        </w:tc>
      </w:tr>
      <w:tr w:rsidR="00A354BA" w:rsidRPr="00A76DAA" w14:paraId="6716B4E5" w14:textId="77777777" w:rsidTr="005E4455">
        <w:trPr>
          <w:trHeight w:val="485"/>
        </w:trPr>
        <w:tc>
          <w:tcPr>
            <w:tcW w:w="1251" w:type="pct"/>
            <w:shd w:val="clear" w:color="auto" w:fill="FFFFFF" w:themeFill="background1"/>
            <w:vAlign w:val="center"/>
          </w:tcPr>
          <w:p w14:paraId="1F30DA92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highlight w:val="yellow"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رقم قرار </w:t>
            </w:r>
            <w:r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الإجراء</w:t>
            </w:r>
          </w:p>
        </w:tc>
        <w:tc>
          <w:tcPr>
            <w:tcW w:w="1251" w:type="pct"/>
            <w:gridSpan w:val="2"/>
            <w:shd w:val="clear" w:color="auto" w:fill="FFFFFF" w:themeFill="background1"/>
            <w:vAlign w:val="center"/>
          </w:tcPr>
          <w:p w14:paraId="303DC9BD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ينص هذا الجزء على الجهة المسؤولة والمصرَّح لها اعتماد هذه السياسة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14:paraId="4D712210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تاريخ المصادقة على السياسة 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834A7D1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 xml:space="preserve">المصادقة 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OM"/>
              </w:rPr>
              <w:t>/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جهة المصادقة 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/ رقم القرار</w:t>
            </w:r>
          </w:p>
        </w:tc>
      </w:tr>
      <w:tr w:rsidR="00A354BA" w:rsidRPr="00A76DAA" w14:paraId="60E91DDF" w14:textId="77777777" w:rsidTr="005E4455">
        <w:trPr>
          <w:trHeight w:val="485"/>
        </w:trPr>
        <w:tc>
          <w:tcPr>
            <w:tcW w:w="1876" w:type="pct"/>
            <w:gridSpan w:val="2"/>
            <w:shd w:val="clear" w:color="auto" w:fill="FFFFFF" w:themeFill="background1"/>
            <w:vAlign w:val="center"/>
          </w:tcPr>
          <w:p w14:paraId="6D26A954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ينص هذا الجزء على الجهة المسؤولة والمصرَّح لها مراجعة هذا </w:t>
            </w:r>
            <w:r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الإجراء</w:t>
            </w:r>
          </w:p>
        </w:tc>
        <w:tc>
          <w:tcPr>
            <w:tcW w:w="1877" w:type="pct"/>
            <w:gridSpan w:val="2"/>
            <w:shd w:val="clear" w:color="auto" w:fill="FFFFFF" w:themeFill="background1"/>
            <w:vAlign w:val="center"/>
          </w:tcPr>
          <w:p w14:paraId="7F3AEA2E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</w:pPr>
            <w:r w:rsidRPr="008D774F"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 xml:space="preserve">جميع التواريخ التي تمت فيها مراجعة </w:t>
            </w:r>
            <w:r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  <w:t>الإجراء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236F1DB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المراجعة 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جهة المراجعة</w:t>
            </w:r>
          </w:p>
        </w:tc>
      </w:tr>
      <w:tr w:rsidR="00A354BA" w:rsidRPr="00A76DAA" w14:paraId="23561DD1" w14:textId="77777777" w:rsidTr="005E4455">
        <w:trPr>
          <w:trHeight w:val="485"/>
        </w:trPr>
        <w:tc>
          <w:tcPr>
            <w:tcW w:w="3753" w:type="pct"/>
            <w:gridSpan w:val="4"/>
            <w:shd w:val="clear" w:color="auto" w:fill="FFFFFF" w:themeFill="background1"/>
            <w:vAlign w:val="center"/>
          </w:tcPr>
          <w:p w14:paraId="6A2BE081" w14:textId="77777777" w:rsidR="00A354BA" w:rsidRPr="008D774F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color w:val="8496B0" w:themeColor="text2" w:themeTint="99"/>
                <w:sz w:val="28"/>
                <w:szCs w:val="28"/>
                <w:rtl/>
              </w:rPr>
            </w:pP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 xml:space="preserve">رقم نسخة </w:t>
            </w:r>
            <w:r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>الإجراء</w:t>
            </w:r>
            <w:r w:rsidRPr="008D774F">
              <w:rPr>
                <w:rFonts w:ascii="Sakkal Majalla" w:hAnsi="Sakkal Majalla" w:cs="Sakkal Majalla" w:hint="cs"/>
                <w:color w:val="8496B0" w:themeColor="text2" w:themeTint="99"/>
                <w:sz w:val="28"/>
                <w:szCs w:val="28"/>
                <w:rtl/>
              </w:rPr>
              <w:t xml:space="preserve"> (3،2،1)  الذي قد يتغير بناءً على التعديلات الواردة في البند 4.3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050B5AB" w14:textId="77777777" w:rsidR="00A354BA" w:rsidRPr="00A76DAA" w:rsidRDefault="00A354BA" w:rsidP="005E4455">
            <w:pPr>
              <w:pStyle w:val="ListParagraph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6DA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  <w:t>رقم الإصدار</w:t>
            </w:r>
          </w:p>
        </w:tc>
      </w:tr>
    </w:tbl>
    <w:p w14:paraId="39C29359" w14:textId="77777777" w:rsidR="00A354BA" w:rsidRPr="00A76DAA" w:rsidRDefault="00A354BA" w:rsidP="00A354BA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Pr="00A76DAA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br w:type="page"/>
      </w:r>
    </w:p>
    <w:p w14:paraId="789B8E8D" w14:textId="77777777" w:rsidR="00A354BA" w:rsidRPr="00A76DAA" w:rsidRDefault="00A354BA" w:rsidP="00A354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lastRenderedPageBreak/>
        <w:t xml:space="preserve">محتويات </w:t>
      </w: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الإجراء</w:t>
      </w:r>
    </w:p>
    <w:p w14:paraId="02B8B388" w14:textId="77777777" w:rsidR="00A354BA" w:rsidRPr="00A76DAA" w:rsidRDefault="00A354BA" w:rsidP="00A354BA">
      <w:pPr>
        <w:bidi/>
        <w:spacing w:line="360" w:lineRule="auto"/>
        <w:ind w:left="720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يتضمن </w:t>
      </w: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الإجراء</w:t>
      </w: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ما يلي</w:t>
      </w: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  <w:t>:</w:t>
      </w:r>
    </w:p>
    <w:p w14:paraId="02CC2913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التعريفات والمختصرات</w:t>
      </w:r>
    </w:p>
    <w:p w14:paraId="6D506803" w14:textId="77777777" w:rsidR="00A354BA" w:rsidRPr="00A76DAA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يُقدم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في هذا المحور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التعريف بالمصطلحات غير المألوفة أو المصطلحات التي لها معاني خاصة ب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ات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>.</w:t>
      </w:r>
    </w:p>
    <w:p w14:paraId="40B32F13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مسؤولية التنفيذ</w:t>
      </w:r>
    </w:p>
    <w:p w14:paraId="3521C525" w14:textId="77777777" w:rsidR="00A354BA" w:rsidRPr="00A76DAA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يوضح هذا الجزء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المسؤول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OM"/>
        </w:rPr>
        <w:t>و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ن عن تنفيذ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OM"/>
        </w:rPr>
        <w:t>الإجراء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المعني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والمسؤوليات التي تقع على عاتقهم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lang w:bidi="ar-OM"/>
        </w:rPr>
        <w:t>.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</w:t>
      </w:r>
    </w:p>
    <w:p w14:paraId="6B94DCBA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الإجراء</w:t>
      </w: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ات</w:t>
      </w:r>
    </w:p>
    <w:p w14:paraId="48E4C5EE" w14:textId="77777777" w:rsidR="00A354BA" w:rsidRPr="00A76DAA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lang w:bidi="ar-OM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في هذا المحور يتم كتابة الخطوات والطرق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 xml:space="preserve">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المطلوبة لتنفيذ هذا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بالتفصيل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 xml:space="preserve">.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ات تحدد مَنْ يفعل ماذا ومتى، ويشير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إلى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المهام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 xml:space="preserve">.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يجب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 xml:space="preserve">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أن تتوافق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ات مع قانون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"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الجامعة ولائحته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 التنفيذية، ويجب أن يشمل هذا البند رسم توضيحي للخطوات (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lang w:bidi="ar-OM"/>
        </w:rPr>
        <w:t>flowchart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). </w:t>
      </w:r>
    </w:p>
    <w:p w14:paraId="0B8A06C4" w14:textId="77777777" w:rsidR="00A354BA" w:rsidRPr="008D774F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16"/>
          <w:szCs w:val="16"/>
          <w:lang w:bidi="ar-OM"/>
        </w:rPr>
      </w:pPr>
      <w:r w:rsidRPr="008D774F">
        <w:rPr>
          <w:rFonts w:ascii="Sakkal Majalla" w:hAnsi="Sakkal Majalla" w:cs="Sakkal Majalla"/>
          <w:color w:val="000000" w:themeColor="text1"/>
          <w:sz w:val="16"/>
          <w:szCs w:val="16"/>
          <w:rtl/>
          <w:lang w:bidi="ar"/>
        </w:rPr>
        <w:tab/>
      </w:r>
    </w:p>
    <w:p w14:paraId="493255BC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المخاطر الرئيسية</w:t>
      </w:r>
    </w:p>
    <w:p w14:paraId="2B0FE08B" w14:textId="77777777" w:rsidR="00A354BA" w:rsidRDefault="00A354BA" w:rsidP="00A354BA">
      <w:pPr>
        <w:bidi/>
        <w:spacing w:after="0" w:line="360" w:lineRule="auto"/>
        <w:ind w:left="360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تحديد المخاطر المحتملة التي تعيق تنفيذ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.</w:t>
      </w:r>
    </w:p>
    <w:p w14:paraId="1B2606C5" w14:textId="77777777" w:rsidR="00A354BA" w:rsidRPr="008D774F" w:rsidRDefault="00A354BA" w:rsidP="00A354BA">
      <w:pPr>
        <w:bidi/>
        <w:spacing w:after="0" w:line="360" w:lineRule="auto"/>
        <w:ind w:left="360"/>
        <w:jc w:val="both"/>
        <w:rPr>
          <w:rFonts w:ascii="Sakkal Majalla" w:hAnsi="Sakkal Majalla" w:cs="Sakkal Majalla"/>
          <w:color w:val="000000" w:themeColor="text1"/>
          <w:sz w:val="20"/>
          <w:szCs w:val="20"/>
          <w:lang w:bidi="ar-OM"/>
        </w:rPr>
      </w:pPr>
    </w:p>
    <w:p w14:paraId="1CDE77FA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أخرى</w:t>
      </w:r>
    </w:p>
    <w:p w14:paraId="1DAD8571" w14:textId="77777777" w:rsidR="00A354BA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أية محاور أخرى ترى الجهة المالكة للإجراء اضافتها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OM"/>
        </w:rPr>
        <w:t>.</w:t>
      </w:r>
    </w:p>
    <w:p w14:paraId="24E50ECD" w14:textId="77777777" w:rsidR="00A354BA" w:rsidRPr="008D774F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rtl/>
          <w:lang w:bidi="ar-OM"/>
        </w:rPr>
      </w:pPr>
    </w:p>
    <w:p w14:paraId="0275A4A5" w14:textId="77777777" w:rsidR="00A354BA" w:rsidRPr="00A76DAA" w:rsidRDefault="00A354BA" w:rsidP="00A354B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الملاحق</w:t>
      </w:r>
    </w:p>
    <w:p w14:paraId="7639FD11" w14:textId="77777777" w:rsidR="00A354BA" w:rsidRPr="00A76DAA" w:rsidRDefault="00A354BA" w:rsidP="00A354BA">
      <w:pPr>
        <w:pStyle w:val="ListParagraph"/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قائمة الملاحق للإجراء (ينبغي التأ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كد من ادراج الملاحق في محتوى الإجراء وادراجه في قائمة الملاحق و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OM"/>
        </w:rPr>
        <w:t>إ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>ضافة الملاحق في نهاية المستند)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bidi="ar-OM"/>
        </w:rPr>
        <w:t>.</w:t>
      </w:r>
    </w:p>
    <w:p w14:paraId="1C792EF2" w14:textId="77777777" w:rsidR="00A354BA" w:rsidRPr="00A76DAA" w:rsidRDefault="00A354BA" w:rsidP="00A354BA">
      <w:pPr>
        <w:pStyle w:val="ListParagraph"/>
        <w:numPr>
          <w:ilvl w:val="0"/>
          <w:numId w:val="2"/>
        </w:numPr>
        <w:bidi/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A76DAA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lastRenderedPageBreak/>
        <w:t>تعليمات الكتابة</w:t>
      </w:r>
    </w:p>
    <w:p w14:paraId="700AB062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قبل الشروع في كتابة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ات، ينبغي قراءة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(01-01: إجراءات تنظيم سياسات وإجراءات جامعة السلطان قابوس) والاطلاع على نماذج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ات المعتمدة سابقاً (جميع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ات موجودة في موقع مكتب ضمان الجودة </w:t>
      </w:r>
      <w:hyperlink r:id="rId8" w:history="1">
        <w:r w:rsidRPr="00A76DAA">
          <w:rPr>
            <w:rStyle w:val="Hyperlink"/>
            <w:rFonts w:ascii="Sakkal Majalla" w:hAnsi="Sakkal Majalla" w:cs="Sakkal Majalla"/>
            <w:color w:val="000000" w:themeColor="text1"/>
            <w:sz w:val="28"/>
            <w:szCs w:val="28"/>
          </w:rPr>
          <w:t>https://www.squ.edu.om/qao/Policies-and-Procedures</w:t>
        </w:r>
      </w:hyperlink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  <w:lang w:bidi="ar-OM"/>
        </w:rPr>
        <w:t xml:space="preserve">). </w:t>
      </w:r>
    </w:p>
    <w:p w14:paraId="651DA1D3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الوحدة مسؤولة عن المحتوى المذكور في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ويقوم مكتب ضمان الجودة بتدقيق البناء فقط. </w:t>
      </w:r>
    </w:p>
    <w:p w14:paraId="3CD6102B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يتم تطوير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بلغة واحدة فقط، وبعد الاعتماد تتم ترجمته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إلى اللغة الثانية ومن ثم يتم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صدار القرار. </w:t>
      </w:r>
    </w:p>
    <w:p w14:paraId="7B370667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الخط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</w:rPr>
        <w:t>Sakkal Majalla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للغة العربية، الحجم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</w:rPr>
        <w:t>14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مساحة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</w:rPr>
        <w:t xml:space="preserve"> 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الأسطر 1.5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</w:rPr>
        <w:t>.</w:t>
      </w:r>
    </w:p>
    <w:p w14:paraId="08FD93E2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يجب ترقيم جميع بنود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باستخدام التعداد الرقمي متعدد المستويات.</w:t>
      </w:r>
    </w:p>
    <w:p w14:paraId="031EFF53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يجب ترقيم صفحات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</w:t>
      </w:r>
    </w:p>
    <w:p w14:paraId="5735CBCC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يجب مراجعة وتدقيق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قبل رفعه.</w:t>
      </w:r>
    </w:p>
    <w:p w14:paraId="45D8373D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لا يمكن تغيير قالب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أو التعديل فيه كإضافة إطار للصفحة. </w:t>
      </w:r>
    </w:p>
    <w:p w14:paraId="12CBFFBF" w14:textId="77777777" w:rsidR="00A354BA" w:rsidRPr="00A76DAA" w:rsidRDefault="00A354BA" w:rsidP="00A354BA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رقم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الإجراء</w:t>
      </w:r>
      <w:r w:rsidRPr="00A76DAA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يتم تحديده من قبل مكتب ضمان الجودة.</w:t>
      </w:r>
    </w:p>
    <w:p w14:paraId="4B044385" w14:textId="77777777" w:rsidR="00686AC7" w:rsidRDefault="00686AC7" w:rsidP="00A354BA">
      <w:pPr>
        <w:jc w:val="right"/>
      </w:pPr>
    </w:p>
    <w:sectPr w:rsidR="00686A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D276" w14:textId="77777777" w:rsidR="005B3D62" w:rsidRDefault="005B3D62" w:rsidP="007252F1">
      <w:pPr>
        <w:spacing w:after="0" w:line="240" w:lineRule="auto"/>
      </w:pPr>
      <w:r>
        <w:separator/>
      </w:r>
    </w:p>
  </w:endnote>
  <w:endnote w:type="continuationSeparator" w:id="0">
    <w:p w14:paraId="3B06ED9B" w14:textId="77777777" w:rsidR="005B3D62" w:rsidRDefault="005B3D62" w:rsidP="0072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376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C1BC5" w14:textId="204A21AE" w:rsidR="007252F1" w:rsidRDefault="007252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6C5F6" w14:textId="77777777" w:rsidR="007252F1" w:rsidRDefault="0072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C1AA2" w14:textId="77777777" w:rsidR="005B3D62" w:rsidRDefault="005B3D62" w:rsidP="007252F1">
      <w:pPr>
        <w:spacing w:after="0" w:line="240" w:lineRule="auto"/>
      </w:pPr>
      <w:r>
        <w:separator/>
      </w:r>
    </w:p>
  </w:footnote>
  <w:footnote w:type="continuationSeparator" w:id="0">
    <w:p w14:paraId="40B76B49" w14:textId="77777777" w:rsidR="005B3D62" w:rsidRDefault="005B3D62" w:rsidP="0072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138"/>
    <w:multiLevelType w:val="hybridMultilevel"/>
    <w:tmpl w:val="DA7A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133"/>
    <w:multiLevelType w:val="hybridMultilevel"/>
    <w:tmpl w:val="22E28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57099"/>
    <w:multiLevelType w:val="hybridMultilevel"/>
    <w:tmpl w:val="8196E0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DD6"/>
    <w:multiLevelType w:val="hybridMultilevel"/>
    <w:tmpl w:val="B5C25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7F"/>
    <w:rsid w:val="000B32EC"/>
    <w:rsid w:val="001F0902"/>
    <w:rsid w:val="005B3D62"/>
    <w:rsid w:val="00686AC7"/>
    <w:rsid w:val="007252F1"/>
    <w:rsid w:val="009E5D7F"/>
    <w:rsid w:val="00A3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CED3"/>
  <w15:chartTrackingRefBased/>
  <w15:docId w15:val="{4CFA424D-9BE8-4CEE-8FEE-0CBBE10B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4BA"/>
  </w:style>
  <w:style w:type="paragraph" w:styleId="Heading1">
    <w:name w:val="heading 1"/>
    <w:basedOn w:val="Normal"/>
    <w:next w:val="Normal"/>
    <w:link w:val="Heading1Char"/>
    <w:uiPriority w:val="9"/>
    <w:qFormat/>
    <w:rsid w:val="00A354BA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BA"/>
    <w:rPr>
      <w:rFonts w:asciiTheme="majorBidi" w:eastAsiaTheme="majorEastAsia" w:hAnsiTheme="majorBid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5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4BA"/>
    <w:rPr>
      <w:color w:val="0000FF"/>
      <w:u w:val="single"/>
    </w:rPr>
  </w:style>
  <w:style w:type="table" w:styleId="TableGrid">
    <w:name w:val="Table Grid"/>
    <w:basedOn w:val="TableNormal"/>
    <w:uiPriority w:val="39"/>
    <w:rsid w:val="00A354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F1"/>
  </w:style>
  <w:style w:type="paragraph" w:styleId="Footer">
    <w:name w:val="footer"/>
    <w:basedOn w:val="Normal"/>
    <w:link w:val="FooterChar"/>
    <w:uiPriority w:val="99"/>
    <w:unhideWhenUsed/>
    <w:rsid w:val="0072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.edu.om/qao/Policies-and-Procedu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Wisal Albulushi</dc:creator>
  <cp:keywords/>
  <dc:description/>
  <cp:lastModifiedBy>admin</cp:lastModifiedBy>
  <cp:revision>2</cp:revision>
  <dcterms:created xsi:type="dcterms:W3CDTF">2023-02-15T05:27:00Z</dcterms:created>
  <dcterms:modified xsi:type="dcterms:W3CDTF">2023-02-15T05:27:00Z</dcterms:modified>
</cp:coreProperties>
</file>